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hAnsi="Times New Roman"/>
          <w:b w:val="1"/>
          <w:bCs w:val="1"/>
          <w:i w:val="0"/>
          <w:iCs w:val="0"/>
          <w:kern w:val="24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kern w:val="24"/>
          <w:sz w:val="32"/>
          <w:szCs w:val="32"/>
          <w:u w:color="000000"/>
          <w:rtl w:val="0"/>
        </w:rPr>
        <w:tab/>
      </w:r>
    </w:p>
    <w:p>
      <w:pPr>
        <w:pStyle w:val="Default"/>
        <w:rPr>
          <w:sz w:val="32"/>
          <w:szCs w:val="32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hAnsi="Times New Roman"/>
          <w:b w:val="1"/>
          <w:bCs w:val="1"/>
          <w:i w:val="1"/>
          <w:iCs w:val="1"/>
          <w:kern w:val="24"/>
          <w:sz w:val="32"/>
          <w:szCs w:val="32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kern w:val="24"/>
          <w:sz w:val="32"/>
          <w:szCs w:val="32"/>
          <w:u w:color="000000"/>
          <w:rtl w:val="0"/>
        </w:rPr>
        <w:tab/>
      </w:r>
    </w:p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2984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4"/>
                <w:sz w:val="32"/>
                <w:szCs w:val="32"/>
                <w:u w:color="000000"/>
                <w:rtl w:val="0"/>
              </w:rPr>
              <w:drawing>
                <wp:inline distT="0" distB="0" distL="0" distR="0">
                  <wp:extent cx="1297306" cy="20117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30104" t="5027" r="30104" b="5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6" cy="20117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kern w:val="24"/>
                <w:sz w:val="32"/>
                <w:szCs w:val="32"/>
                <w:u w:color="000000"/>
                <w:rtl w:val="0"/>
              </w:rPr>
              <w:t>Џемс Метју Бари БЕЛА ПТИЧИЦА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kern w:val="24"/>
                <w:sz w:val="24"/>
                <w:szCs w:val="24"/>
                <w:u w:color="000000"/>
                <w:rtl w:val="0"/>
              </w:rPr>
            </w:r>
          </w:p>
        </w:tc>
      </w:tr>
    </w:tbl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4"/>
          <w:sz w:val="32"/>
          <w:szCs w:val="32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4"/>
          <w:sz w:val="32"/>
          <w:szCs w:val="32"/>
          <w:u w:color="00000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24"/>
          <w:sz w:val="24"/>
          <w:szCs w:val="24"/>
          <w:u w:color="000000"/>
          <w:rtl w:val="0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Приповедач је бивши војник који у тајности финансијски помаже млади брачни пар из комшилука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Са њиховим сином Давидом откриће необичне приче и авантуре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на пример порекло деце пре рођења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Сва деца у том крају Лондона била су некад птице у Кенсингтон парку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гвоздене пречаге на прозорима дечјих соба и гвоздена ограда пред камином постоје само зато што малишани понекад забораве да немају више крила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те покушавају да излете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А да ли вам је позната прича о једном дечаку који може да лети и никада неће одрасти</w:t>
      </w:r>
      <w:r>
        <w:rPr>
          <w:sz w:val="28"/>
          <w:szCs w:val="28"/>
          <w:rtl w:val="0"/>
        </w:rPr>
        <w:t xml:space="preserve">? </w:t>
      </w:r>
      <w:r>
        <w:rPr>
          <w:sz w:val="28"/>
          <w:szCs w:val="28"/>
          <w:rtl w:val="0"/>
        </w:rPr>
        <w:t>У овом роману се први пут помиње Петар Пан каквог данас познајемо</w:t>
      </w:r>
      <w:r>
        <w:rPr>
          <w:sz w:val="28"/>
          <w:szCs w:val="28"/>
          <w:rtl w:val="0"/>
        </w:rPr>
        <w:t>.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10-15 </w:t>
      </w:r>
      <w:r>
        <w:rPr>
          <w:sz w:val="28"/>
          <w:szCs w:val="28"/>
          <w:rtl w:val="0"/>
        </w:rPr>
        <w:t>година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